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11" w:rsidRPr="00F0138C" w:rsidRDefault="008D3D11" w:rsidP="008D3D11">
      <w:pPr>
        <w:spacing w:after="0" w:line="240" w:lineRule="auto"/>
        <w:jc w:val="both"/>
        <w:rPr>
          <w:rFonts w:ascii="Times New Roman" w:hAnsi="Times New Roman" w:cs="Times New Roman"/>
          <w:sz w:val="24"/>
          <w:szCs w:val="24"/>
        </w:rPr>
      </w:pPr>
    </w:p>
    <w:p w:rsidR="008D3D11" w:rsidRPr="00F0138C" w:rsidRDefault="008D3D11" w:rsidP="008D3D11">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ANEXA 30 A</w:t>
      </w:r>
    </w:p>
    <w:p w:rsidR="008D3D11" w:rsidRPr="00F0138C" w:rsidRDefault="008D3D11" w:rsidP="008D3D11">
      <w:pPr>
        <w:spacing w:after="0" w:line="240" w:lineRule="auto"/>
        <w:jc w:val="both"/>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A. PACHET DE SERVICII MEDICALE DE BAZĂ PENTRU ÎNGRIJIRI MEDICALE LA DOMICILIU</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p>
    <w:tbl>
      <w:tblPr>
        <w:tblStyle w:val="TableGrid"/>
        <w:tblW w:w="10060" w:type="dxa"/>
        <w:tblLayout w:type="fixed"/>
        <w:tblLook w:val="04A0"/>
      </w:tblPr>
      <w:tblGrid>
        <w:gridCol w:w="649"/>
        <w:gridCol w:w="9411"/>
      </w:tblGrid>
      <w:tr w:rsidR="008D3D11" w:rsidRPr="00F0138C" w:rsidTr="00194786">
        <w:trPr>
          <w:trHeight w:val="410"/>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Nr. crt.</w:t>
            </w:r>
          </w:p>
        </w:tc>
        <w:tc>
          <w:tcPr>
            <w:tcW w:w="9411" w:type="dxa"/>
          </w:tcPr>
          <w:p w:rsidR="008D3D11" w:rsidRPr="00F0138C" w:rsidRDefault="008D3D11" w:rsidP="00194786">
            <w:pPr>
              <w:rPr>
                <w:rFonts w:ascii="Times New Roman" w:hAnsi="Times New Roman" w:cs="Times New Roman"/>
                <w:b/>
                <w:sz w:val="24"/>
                <w:szCs w:val="24"/>
              </w:rPr>
            </w:pPr>
            <w:r w:rsidRPr="00F0138C">
              <w:rPr>
                <w:rFonts w:ascii="Times New Roman" w:hAnsi="Times New Roman" w:cs="Times New Roman"/>
                <w:b/>
                <w:sz w:val="24"/>
                <w:szCs w:val="24"/>
              </w:rPr>
              <w:t xml:space="preserve">          Serviciul de îngrijire medicală la domiciliu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w:t>
            </w:r>
          </w:p>
        </w:tc>
      </w:tr>
      <w:tr w:rsidR="008D3D11" w:rsidRPr="00F0138C" w:rsidTr="00194786">
        <w:trPr>
          <w:trHeight w:val="1040"/>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Măsurarea parametrilor fiziologici: temperatură, respiraţie, puls, TA, diureză şi scaun;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recomandarea serviciului se face de către medici pentru toţi parametrii prevăzuţi, respectiv: temperatură, respiraţie, puls, TA, diureză şi scaun           </w:t>
            </w:r>
          </w:p>
        </w:tc>
      </w:tr>
      <w:tr w:rsidR="008D3D11" w:rsidRPr="00F0138C" w:rsidTr="00194786">
        <w:trPr>
          <w:trHeight w:val="141"/>
        </w:trPr>
        <w:tc>
          <w:tcPr>
            <w:tcW w:w="649" w:type="dxa"/>
            <w:vMerge w:val="restart"/>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Administrarea medicamentelor:                                 </w:t>
            </w:r>
          </w:p>
        </w:tc>
      </w:tr>
      <w:tr w:rsidR="008D3D11" w:rsidRPr="00F0138C" w:rsidTr="00194786">
        <w:trPr>
          <w:trHeight w:val="141"/>
        </w:trPr>
        <w:tc>
          <w:tcPr>
            <w:tcW w:w="649" w:type="dxa"/>
            <w:vMerge/>
          </w:tcPr>
          <w:p w:rsidR="008D3D11" w:rsidRPr="00F0138C" w:rsidRDefault="008D3D11" w:rsidP="00194786">
            <w:pPr>
              <w:jc w:val="center"/>
              <w:rPr>
                <w:rFonts w:ascii="Times New Roman" w:hAnsi="Times New Roman" w:cs="Times New Roman"/>
                <w:sz w:val="24"/>
                <w:szCs w:val="24"/>
              </w:rPr>
            </w:pP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2.1. intramuscular - în afara injecţiilor cu produse de origine umană                                       </w:t>
            </w:r>
          </w:p>
        </w:tc>
      </w:tr>
      <w:tr w:rsidR="008D3D11" w:rsidRPr="00F0138C" w:rsidTr="00194786">
        <w:trPr>
          <w:trHeight w:val="141"/>
        </w:trPr>
        <w:tc>
          <w:tcPr>
            <w:tcW w:w="649" w:type="dxa"/>
            <w:vMerge/>
          </w:tcPr>
          <w:p w:rsidR="008D3D11" w:rsidRPr="00F0138C" w:rsidRDefault="008D3D11" w:rsidP="00194786">
            <w:pPr>
              <w:jc w:val="center"/>
              <w:rPr>
                <w:rFonts w:ascii="Times New Roman" w:hAnsi="Times New Roman" w:cs="Times New Roman"/>
                <w:sz w:val="24"/>
                <w:szCs w:val="24"/>
              </w:rPr>
            </w:pP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2.2. subcutanat - în afara injecţiilor cu produse de origine umană                                                                 </w:t>
            </w:r>
          </w:p>
        </w:tc>
      </w:tr>
      <w:tr w:rsidR="008D3D11" w:rsidRPr="00F0138C" w:rsidTr="00194786">
        <w:trPr>
          <w:trHeight w:val="141"/>
        </w:trPr>
        <w:tc>
          <w:tcPr>
            <w:tcW w:w="649" w:type="dxa"/>
            <w:vMerge/>
          </w:tcPr>
          <w:p w:rsidR="008D3D11" w:rsidRPr="00F0138C" w:rsidRDefault="008D3D11" w:rsidP="00194786">
            <w:pPr>
              <w:jc w:val="center"/>
              <w:rPr>
                <w:rFonts w:ascii="Times New Roman" w:hAnsi="Times New Roman" w:cs="Times New Roman"/>
                <w:sz w:val="24"/>
                <w:szCs w:val="24"/>
              </w:rPr>
            </w:pP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2.3. intradermic  - în afara injecţiilor cu produse de origine  umană</w:t>
            </w:r>
          </w:p>
        </w:tc>
      </w:tr>
      <w:tr w:rsidR="008D3D11" w:rsidRPr="00F0138C" w:rsidTr="00194786">
        <w:trPr>
          <w:trHeight w:val="141"/>
        </w:trPr>
        <w:tc>
          <w:tcPr>
            <w:tcW w:w="649" w:type="dxa"/>
            <w:vMerge/>
          </w:tcPr>
          <w:p w:rsidR="008D3D11" w:rsidRPr="00F0138C" w:rsidRDefault="008D3D11" w:rsidP="00194786">
            <w:pPr>
              <w:jc w:val="center"/>
              <w:rPr>
                <w:rFonts w:ascii="Times New Roman" w:hAnsi="Times New Roman" w:cs="Times New Roman"/>
                <w:sz w:val="24"/>
                <w:szCs w:val="24"/>
              </w:rPr>
            </w:pP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2.4. oral                                                     </w:t>
            </w:r>
          </w:p>
        </w:tc>
      </w:tr>
      <w:tr w:rsidR="008D3D11" w:rsidRPr="00F0138C" w:rsidTr="00194786">
        <w:trPr>
          <w:trHeight w:val="141"/>
        </w:trPr>
        <w:tc>
          <w:tcPr>
            <w:tcW w:w="649" w:type="dxa"/>
            <w:vMerge/>
          </w:tcPr>
          <w:p w:rsidR="008D3D11" w:rsidRPr="00F0138C" w:rsidRDefault="008D3D11" w:rsidP="00194786">
            <w:pPr>
              <w:jc w:val="center"/>
              <w:rPr>
                <w:rFonts w:ascii="Times New Roman" w:hAnsi="Times New Roman" w:cs="Times New Roman"/>
                <w:sz w:val="24"/>
                <w:szCs w:val="24"/>
              </w:rPr>
            </w:pP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2.5. pe mucoase                                               </w:t>
            </w:r>
          </w:p>
        </w:tc>
      </w:tr>
      <w:tr w:rsidR="008D3D11" w:rsidRPr="00F0138C" w:rsidTr="00194786">
        <w:trPr>
          <w:trHeight w:val="450"/>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3.</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Administrarea medicamentelor intravenos - în afara injecţiilor şi perfuziilor cu produse de origine umană, cu respectarea  legislaţiei în vigoare           </w:t>
            </w:r>
          </w:p>
        </w:tc>
      </w:tr>
      <w:tr w:rsidR="008D3D11" w:rsidRPr="00F0138C" w:rsidTr="00194786">
        <w:trPr>
          <w:trHeight w:val="1040"/>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4.</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Sondaj vezical, îngrijirea sondei urinare şi administrarea medicamentelor intravezical pe sondă vezicală, la bărbaţi se efectuează de către medicul care îşi desfăşoară activitatea într-o formă legală la furnizorul de îngrijiri medicale la domiciliu</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implică obligatoriu toaleta locală genitală şi schimbarea sondei fixe la 6 zile                               </w:t>
            </w:r>
          </w:p>
        </w:tc>
      </w:tr>
      <w:tr w:rsidR="008D3D11" w:rsidRPr="00F0138C" w:rsidTr="00194786">
        <w:trPr>
          <w:trHeight w:val="830"/>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5.</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Administrarea medicamentelor prin perfuzie endovenoasă, cu  respectarea legislaţiei în vigoare, în afara perfuziilor cu produse de origine umană.       </w:t>
            </w:r>
          </w:p>
        </w:tc>
      </w:tr>
      <w:tr w:rsidR="008D3D11" w:rsidRPr="00F0138C" w:rsidTr="00194786">
        <w:trPr>
          <w:trHeight w:val="410"/>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6.</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Alimentarea artificială pe gastrostomă/sondăgastrică/nazogastrică şi educarea asiguratului/aparţinătorilor                         </w:t>
            </w:r>
          </w:p>
        </w:tc>
      </w:tr>
      <w:tr w:rsidR="008D3D11" w:rsidRPr="00F0138C" w:rsidTr="00194786">
        <w:trPr>
          <w:trHeight w:val="410"/>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7.</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Alimentarea pasivă, pentru bolnavii cu tulburări de deglutiţie, inclusiv instruirea asiguratului/aparţinătorului  </w:t>
            </w:r>
          </w:p>
        </w:tc>
      </w:tr>
      <w:tr w:rsidR="008D3D11" w:rsidRPr="00F0138C" w:rsidTr="00194786">
        <w:trPr>
          <w:trHeight w:val="141"/>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8.</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Clismă cu scop evacuator /terapeutic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9.</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Spălătură vaginală în cazuri de deficit motor                 </w:t>
            </w:r>
          </w:p>
        </w:tc>
      </w:tr>
      <w:tr w:rsidR="008D3D11" w:rsidRPr="00F0138C" w:rsidTr="00194786">
        <w:trPr>
          <w:trHeight w:val="830"/>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10.</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Manevre terapeutice pentru evitarea complicaţiilor vasculare ale membrelor inferioare/escarelor de decubit: mobilizare, masaj, aplicaţii medicamentoase, utilizarea colacilor de cauciuc şi a rulourilor                                       </w:t>
            </w:r>
          </w:p>
        </w:tc>
      </w:tr>
      <w:tr w:rsidR="008D3D11" w:rsidRPr="00F0138C" w:rsidTr="00194786">
        <w:trPr>
          <w:trHeight w:val="410"/>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11.</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Manevre terapeutice pentru evitarea complicaţiilor pulmonare: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posturi de drenaj bronşic, tapotaj, fizioterapie respiratorie</w:t>
            </w:r>
          </w:p>
        </w:tc>
      </w:tr>
      <w:tr w:rsidR="008D3D11" w:rsidRPr="00F0138C" w:rsidTr="00194786">
        <w:trPr>
          <w:trHeight w:val="29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12.</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plăgilor simple şi/sau suprainfectate/suprimarea firelor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13.</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escarelor multiple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14.</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stomelor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15.</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fistulelor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16.</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tubului de dren şi instruirea asiguratului         </w:t>
            </w:r>
          </w:p>
        </w:tc>
      </w:tr>
      <w:tr w:rsidR="008D3D11" w:rsidRPr="00F0138C" w:rsidTr="00194786">
        <w:trPr>
          <w:trHeight w:val="141"/>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17.</w:t>
            </w:r>
          </w:p>
        </w:tc>
        <w:tc>
          <w:tcPr>
            <w:tcW w:w="9411"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Îngrijirea canulei traheale şi instruirea asiguratului        </w:t>
            </w:r>
          </w:p>
        </w:tc>
      </w:tr>
      <w:tr w:rsidR="008D3D11" w:rsidRPr="00F0138C" w:rsidTr="00194786">
        <w:trPr>
          <w:trHeight w:val="830"/>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18.</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Aplicarea de ploscă, bazinet, condom urinar, mijloc ajutător pentru absorbţia urinei; este inclus şi mijlocul ajutător pentru absorbţia urinei, minim 2 mijloace ajutătoare pentru absorbţia urinei/zi.       </w:t>
            </w:r>
          </w:p>
        </w:tc>
      </w:tr>
      <w:tr w:rsidR="008D3D11" w:rsidRPr="00F0138C" w:rsidTr="00194786">
        <w:trPr>
          <w:trHeight w:val="1422"/>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lastRenderedPageBreak/>
              <w:t>19.</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Alimentaţie parenterală - alimentaţie artificială pe cateter venos central sau periferic se acordă de către </w:t>
            </w:r>
            <w:proofErr w:type="spellStart"/>
            <w:r w:rsidRPr="00F0138C">
              <w:rPr>
                <w:rFonts w:ascii="Times New Roman" w:hAnsi="Times New Roman" w:cs="Times New Roman"/>
                <w:sz w:val="24"/>
                <w:szCs w:val="24"/>
                <w:lang w:val="en-US"/>
              </w:rPr>
              <w:t>spitalele</w:t>
            </w:r>
            <w:proofErr w:type="spellEnd"/>
            <w:r w:rsidRPr="00F0138C">
              <w:rPr>
                <w:rFonts w:ascii="Times New Roman" w:hAnsi="Times New Roman" w:cs="Times New Roman"/>
                <w:sz w:val="24"/>
                <w:szCs w:val="24"/>
                <w:lang w:val="en-US"/>
              </w:rPr>
              <w:t xml:space="preserve"> cu </w:t>
            </w:r>
            <w:proofErr w:type="spellStart"/>
            <w:r w:rsidRPr="00F0138C">
              <w:rPr>
                <w:rFonts w:ascii="Times New Roman" w:hAnsi="Times New Roman" w:cs="Times New Roman"/>
                <w:sz w:val="24"/>
                <w:szCs w:val="24"/>
                <w:lang w:val="en-US"/>
              </w:rPr>
              <w:t>structuri</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organizate</w:t>
            </w:r>
            <w:proofErr w:type="spellEnd"/>
            <w:r w:rsidRPr="00F0138C">
              <w:rPr>
                <w:rFonts w:ascii="Times New Roman" w:hAnsi="Times New Roman" w:cs="Times New Roman"/>
                <w:sz w:val="24"/>
                <w:szCs w:val="24"/>
                <w:lang w:val="en-US"/>
              </w:rPr>
              <w:t xml:space="preserve"> ca </w:t>
            </w:r>
            <w:proofErr w:type="spellStart"/>
            <w:r w:rsidRPr="00F0138C">
              <w:rPr>
                <w:rFonts w:ascii="Times New Roman" w:hAnsi="Times New Roman" w:cs="Times New Roman"/>
                <w:sz w:val="24"/>
                <w:szCs w:val="24"/>
                <w:lang w:val="en-US"/>
              </w:rPr>
              <w:t>furnizori</w:t>
            </w:r>
            <w:proofErr w:type="spellEnd"/>
            <w:r w:rsidRPr="00F0138C">
              <w:rPr>
                <w:rFonts w:ascii="Times New Roman" w:hAnsi="Times New Roman" w:cs="Times New Roman"/>
                <w:sz w:val="24"/>
                <w:szCs w:val="24"/>
                <w:lang w:val="en-US"/>
              </w:rPr>
              <w:t xml:space="preserve"> de </w:t>
            </w:r>
            <w:proofErr w:type="spellStart"/>
            <w:r w:rsidRPr="00F0138C">
              <w:rPr>
                <w:rFonts w:ascii="Times New Roman" w:hAnsi="Times New Roman" w:cs="Times New Roman"/>
                <w:sz w:val="24"/>
                <w:szCs w:val="24"/>
                <w:lang w:val="en-US"/>
              </w:rPr>
              <w:t>îngrijiri</w:t>
            </w:r>
            <w:proofErr w:type="spellEnd"/>
            <w:r w:rsidRPr="00F0138C">
              <w:rPr>
                <w:rFonts w:ascii="Times New Roman" w:hAnsi="Times New Roman" w:cs="Times New Roman"/>
                <w:sz w:val="24"/>
                <w:szCs w:val="24"/>
                <w:lang w:val="en-US"/>
              </w:rPr>
              <w:t xml:space="preserve"> la </w:t>
            </w:r>
            <w:proofErr w:type="spellStart"/>
            <w:r w:rsidRPr="00F0138C">
              <w:rPr>
                <w:rFonts w:ascii="Times New Roman" w:hAnsi="Times New Roman" w:cs="Times New Roman"/>
                <w:sz w:val="24"/>
                <w:szCs w:val="24"/>
                <w:lang w:val="en-US"/>
              </w:rPr>
              <w:t>domiciliu</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autorizate</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să</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efectueze</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acest</w:t>
            </w:r>
            <w:proofErr w:type="spellEnd"/>
            <w:r w:rsidRPr="00F0138C">
              <w:rPr>
                <w:rFonts w:ascii="Times New Roman" w:hAnsi="Times New Roman" w:cs="Times New Roman"/>
                <w:sz w:val="24"/>
                <w:szCs w:val="24"/>
                <w:lang w:val="en-US"/>
              </w:rPr>
              <w:t xml:space="preserve"> tip de </w:t>
            </w:r>
            <w:proofErr w:type="spellStart"/>
            <w:r w:rsidRPr="00F0138C">
              <w:rPr>
                <w:rFonts w:ascii="Times New Roman" w:hAnsi="Times New Roman" w:cs="Times New Roman"/>
                <w:sz w:val="24"/>
                <w:szCs w:val="24"/>
                <w:lang w:val="en-US"/>
              </w:rPr>
              <w:t>serviciu</w:t>
            </w:r>
            <w:proofErr w:type="spellEnd"/>
            <w:r w:rsidRPr="00F0138C">
              <w:rPr>
                <w:rFonts w:ascii="Times New Roman" w:hAnsi="Times New Roman" w:cs="Times New Roman"/>
                <w:sz w:val="24"/>
                <w:szCs w:val="24"/>
                <w:lang w:val="en-US"/>
              </w:rPr>
              <w:t>.</w:t>
            </w:r>
          </w:p>
          <w:p w:rsidR="008D3D11" w:rsidRPr="00F0138C" w:rsidRDefault="008D3D11" w:rsidP="00194786">
            <w:pPr>
              <w:jc w:val="both"/>
              <w:rPr>
                <w:rFonts w:ascii="Times New Roman" w:hAnsi="Times New Roman" w:cs="Times New Roman"/>
                <w:sz w:val="28"/>
                <w:szCs w:val="28"/>
                <w:lang w:val="en-US"/>
              </w:rPr>
            </w:pPr>
            <w:r w:rsidRPr="00F0138C">
              <w:rPr>
                <w:rFonts w:ascii="Times New Roman" w:hAnsi="Times New Roman" w:cs="Times New Roman"/>
                <w:sz w:val="24"/>
                <w:szCs w:val="24"/>
              </w:rPr>
              <w:t xml:space="preserve">Serviciul nu include alimentele specifice.    </w:t>
            </w:r>
          </w:p>
        </w:tc>
      </w:tr>
      <w:tr w:rsidR="008D3D11" w:rsidRPr="00F0138C" w:rsidTr="00194786">
        <w:trPr>
          <w:trHeight w:val="949"/>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20.</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Kinetoterapie individuală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se efectuează doar de fizioterapeutul care îşi desfăşoară activitatea într-o formă legală la furnizorul de îngrijiri medicale la domiciliu                 </w:t>
            </w:r>
          </w:p>
        </w:tc>
      </w:tr>
      <w:tr w:rsidR="008D3D11" w:rsidRPr="00F0138C" w:rsidTr="00194786">
        <w:trPr>
          <w:trHeight w:val="949"/>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21.</w:t>
            </w:r>
          </w:p>
        </w:tc>
        <w:tc>
          <w:tcPr>
            <w:tcW w:w="9411"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Logopedie individuală                       </w:t>
            </w:r>
          </w:p>
          <w:p w:rsidR="008D3D11" w:rsidRPr="00F0138C" w:rsidRDefault="008D3D11" w:rsidP="008D3D11">
            <w:pPr>
              <w:pStyle w:val="ListParagraph"/>
              <w:numPr>
                <w:ilvl w:val="0"/>
                <w:numId w:val="1"/>
              </w:numPr>
              <w:jc w:val="both"/>
              <w:rPr>
                <w:rFonts w:ascii="Times New Roman" w:hAnsi="Times New Roman" w:cs="Times New Roman"/>
                <w:sz w:val="24"/>
                <w:szCs w:val="24"/>
              </w:rPr>
            </w:pPr>
            <w:r w:rsidRPr="00F0138C">
              <w:rPr>
                <w:rFonts w:ascii="Times New Roman" w:hAnsi="Times New Roman" w:cs="Times New Roman"/>
                <w:sz w:val="24"/>
                <w:szCs w:val="24"/>
              </w:rPr>
              <w:t xml:space="preserve"> se efectuează doar de logopedul, care îşi desfăşoară activitatea într-o formă legală la furnizorul de îngrijiri medicale la domiciliu </w:t>
            </w:r>
          </w:p>
          <w:p w:rsidR="008D3D11" w:rsidRPr="00F0138C" w:rsidRDefault="008D3D11" w:rsidP="00194786">
            <w:pPr>
              <w:jc w:val="both"/>
              <w:rPr>
                <w:rFonts w:ascii="Times New Roman" w:hAnsi="Times New Roman" w:cs="Times New Roman"/>
                <w:sz w:val="24"/>
                <w:szCs w:val="24"/>
              </w:rPr>
            </w:pPr>
          </w:p>
        </w:tc>
      </w:tr>
      <w:tr w:rsidR="008D3D11" w:rsidRPr="00F0138C" w:rsidTr="00194786">
        <w:trPr>
          <w:trHeight w:val="949"/>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22.</w:t>
            </w:r>
          </w:p>
        </w:tc>
        <w:tc>
          <w:tcPr>
            <w:tcW w:w="9411" w:type="dxa"/>
            <w:shd w:val="clear" w:color="auto" w:fill="auto"/>
          </w:tcPr>
          <w:p w:rsidR="008D3D11" w:rsidRPr="00F0138C" w:rsidRDefault="008D3D11" w:rsidP="00194786">
            <w:pPr>
              <w:jc w:val="both"/>
              <w:rPr>
                <w:rFonts w:ascii="Times New Roman" w:hAnsi="Times New Roman" w:cs="Times New Roman"/>
                <w:sz w:val="24"/>
                <w:szCs w:val="24"/>
              </w:rPr>
            </w:pPr>
            <w:proofErr w:type="spellStart"/>
            <w:r w:rsidRPr="00F0138C">
              <w:rPr>
                <w:rFonts w:ascii="Times New Roman" w:hAnsi="Times New Roman" w:cs="Times New Roman"/>
                <w:sz w:val="24"/>
                <w:szCs w:val="24"/>
                <w:lang w:val="en-US"/>
              </w:rPr>
              <w:t>Masajul</w:t>
            </w:r>
            <w:proofErr w:type="spellEnd"/>
            <w:r w:rsidRPr="00F0138C">
              <w:rPr>
                <w:rFonts w:ascii="Times New Roman" w:hAnsi="Times New Roman" w:cs="Times New Roman"/>
                <w:sz w:val="24"/>
                <w:szCs w:val="24"/>
                <w:lang w:val="en-US"/>
              </w:rPr>
              <w:t xml:space="preserve"> </w:t>
            </w:r>
            <w:proofErr w:type="spellStart"/>
            <w:r w:rsidRPr="00F0138C">
              <w:rPr>
                <w:rFonts w:ascii="Times New Roman" w:hAnsi="Times New Roman" w:cs="Times New Roman"/>
                <w:sz w:val="24"/>
                <w:szCs w:val="24"/>
                <w:lang w:val="en-US"/>
              </w:rPr>
              <w:t>limfedemului</w:t>
            </w:r>
            <w:proofErr w:type="spellEnd"/>
            <w:r w:rsidRPr="00F0138C">
              <w:rPr>
                <w:rFonts w:ascii="Times New Roman" w:hAnsi="Times New Roman" w:cs="Times New Roman"/>
                <w:sz w:val="28"/>
                <w:szCs w:val="28"/>
                <w:lang w:val="en-US"/>
              </w:rPr>
              <w:t xml:space="preserve"> </w:t>
            </w:r>
          </w:p>
          <w:p w:rsidR="008D3D11" w:rsidRPr="00F0138C" w:rsidRDefault="008D3D11" w:rsidP="008D3D11">
            <w:pPr>
              <w:pStyle w:val="ListParagraph"/>
              <w:numPr>
                <w:ilvl w:val="0"/>
                <w:numId w:val="1"/>
              </w:numPr>
              <w:jc w:val="both"/>
              <w:rPr>
                <w:rFonts w:ascii="Times New Roman" w:hAnsi="Times New Roman" w:cs="Times New Roman"/>
                <w:sz w:val="24"/>
                <w:szCs w:val="24"/>
              </w:rPr>
            </w:pPr>
            <w:r w:rsidRPr="00F0138C">
              <w:rPr>
                <w:rFonts w:ascii="Times New Roman" w:hAnsi="Times New Roman" w:cs="Times New Roman"/>
                <w:sz w:val="24"/>
                <w:szCs w:val="24"/>
              </w:rPr>
              <w:t xml:space="preserve"> se efectuează doar de fizioterapeutul care îşi desfăşoară activitatea într-o formă legală la furnizorul de îngrijiri medicale la domiciliu și atestă pregătirea profesională în drenaj limfatic manual</w:t>
            </w:r>
          </w:p>
        </w:tc>
      </w:tr>
      <w:tr w:rsidR="008D3D11" w:rsidRPr="00F0138C" w:rsidTr="00194786">
        <w:trPr>
          <w:trHeight w:val="523"/>
        </w:trPr>
        <w:tc>
          <w:tcPr>
            <w:tcW w:w="649"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23.</w:t>
            </w:r>
          </w:p>
        </w:tc>
        <w:tc>
          <w:tcPr>
            <w:tcW w:w="9411" w:type="dxa"/>
            <w:shd w:val="clear" w:color="auto" w:fill="auto"/>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Evaluarea manuală a fecaloamelor</w:t>
            </w:r>
          </w:p>
        </w:tc>
      </w:tr>
      <w:tr w:rsidR="008D3D11" w:rsidRPr="00F0138C" w:rsidTr="00194786">
        <w:trPr>
          <w:trHeight w:val="1268"/>
        </w:trPr>
        <w:tc>
          <w:tcPr>
            <w:tcW w:w="649"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24</w:t>
            </w:r>
          </w:p>
        </w:tc>
        <w:tc>
          <w:tcPr>
            <w:tcW w:w="9411" w:type="dxa"/>
            <w:shd w:val="clear" w:color="auto" w:fill="auto"/>
          </w:tcPr>
          <w:p w:rsidR="008D3D11" w:rsidRPr="00F0138C" w:rsidRDefault="008D3D11" w:rsidP="00194786">
            <w:pPr>
              <w:rPr>
                <w:rFonts w:ascii="Times New Roman" w:hAnsi="Times New Roman" w:cs="Times New Roman"/>
                <w:sz w:val="24"/>
                <w:szCs w:val="24"/>
                <w:lang w:val="en-US"/>
              </w:rPr>
            </w:pPr>
            <w:r w:rsidRPr="00F0138C">
              <w:rPr>
                <w:rFonts w:ascii="Times New Roman" w:hAnsi="Times New Roman" w:cs="Times New Roman"/>
                <w:sz w:val="24"/>
                <w:szCs w:val="24"/>
              </w:rPr>
              <w:t>Recoltarea produselor biologice, cu respectarea Normelor tehnice privind gestionarea deşeurilor rezultate din activităţi medicale şi a Metodologiei de culegere a datelor pentru baza naţională de date privind deşeurile rezultate din activităţi medicale aprobate prin Ordinul MS nr. 1226/2012 (</w:t>
            </w:r>
            <w:proofErr w:type="spellStart"/>
            <w:r w:rsidRPr="00F0138C">
              <w:rPr>
                <w:rFonts w:ascii="Times New Roman" w:hAnsi="Times New Roman" w:cs="Times New Roman"/>
                <w:iCs/>
                <w:sz w:val="24"/>
                <w:szCs w:val="24"/>
                <w:lang w:val="en-US"/>
              </w:rPr>
              <w:t>sânge</w:t>
            </w:r>
            <w:proofErr w:type="spellEnd"/>
            <w:r w:rsidRPr="00F0138C">
              <w:rPr>
                <w:rFonts w:ascii="Times New Roman" w:hAnsi="Times New Roman" w:cs="Times New Roman"/>
                <w:iCs/>
                <w:sz w:val="24"/>
                <w:szCs w:val="24"/>
                <w:lang w:val="en-US"/>
              </w:rPr>
              <w:t xml:space="preserve">, </w:t>
            </w:r>
            <w:proofErr w:type="spellStart"/>
            <w:r w:rsidRPr="00F0138C">
              <w:rPr>
                <w:rFonts w:ascii="Times New Roman" w:hAnsi="Times New Roman" w:cs="Times New Roman"/>
                <w:iCs/>
                <w:sz w:val="24"/>
                <w:szCs w:val="24"/>
                <w:lang w:val="en-US"/>
              </w:rPr>
              <w:t>urină</w:t>
            </w:r>
            <w:proofErr w:type="spellEnd"/>
            <w:r w:rsidRPr="00F0138C">
              <w:rPr>
                <w:rFonts w:ascii="Times New Roman" w:hAnsi="Times New Roman" w:cs="Times New Roman"/>
                <w:iCs/>
                <w:sz w:val="24"/>
                <w:szCs w:val="24"/>
                <w:lang w:val="en-US"/>
              </w:rPr>
              <w:t xml:space="preserve">, </w:t>
            </w:r>
            <w:proofErr w:type="spellStart"/>
            <w:r w:rsidRPr="00F0138C">
              <w:rPr>
                <w:rFonts w:ascii="Times New Roman" w:hAnsi="Times New Roman" w:cs="Times New Roman"/>
                <w:iCs/>
                <w:sz w:val="24"/>
                <w:szCs w:val="24"/>
                <w:lang w:val="en-US"/>
              </w:rPr>
              <w:t>materii</w:t>
            </w:r>
            <w:proofErr w:type="spellEnd"/>
            <w:r w:rsidRPr="00F0138C">
              <w:rPr>
                <w:rFonts w:ascii="Times New Roman" w:hAnsi="Times New Roman" w:cs="Times New Roman"/>
                <w:iCs/>
                <w:sz w:val="24"/>
                <w:szCs w:val="24"/>
                <w:lang w:val="en-US"/>
              </w:rPr>
              <w:t xml:space="preserve"> </w:t>
            </w:r>
            <w:proofErr w:type="spellStart"/>
            <w:r w:rsidRPr="00F0138C">
              <w:rPr>
                <w:rFonts w:ascii="Times New Roman" w:hAnsi="Times New Roman" w:cs="Times New Roman"/>
                <w:iCs/>
                <w:sz w:val="24"/>
                <w:szCs w:val="24"/>
                <w:lang w:val="en-US"/>
              </w:rPr>
              <w:t>fecale</w:t>
            </w:r>
            <w:proofErr w:type="spellEnd"/>
            <w:r w:rsidRPr="00F0138C">
              <w:rPr>
                <w:rFonts w:ascii="Times New Roman" w:hAnsi="Times New Roman" w:cs="Times New Roman"/>
                <w:iCs/>
                <w:sz w:val="24"/>
                <w:szCs w:val="24"/>
                <w:lang w:val="en-US"/>
              </w:rPr>
              <w:t>);</w:t>
            </w:r>
          </w:p>
        </w:tc>
      </w:tr>
    </w:tbl>
    <w:p w:rsidR="008D3D11" w:rsidRPr="00F0138C" w:rsidRDefault="008D3D11" w:rsidP="008D3D11">
      <w:pPr>
        <w:spacing w:after="0" w:line="240" w:lineRule="auto"/>
        <w:rPr>
          <w:rFonts w:ascii="Times New Roman" w:hAnsi="Times New Roman" w:cs="Times New Roman"/>
          <w:sz w:val="24"/>
          <w:szCs w:val="24"/>
        </w:rPr>
      </w:pPr>
      <w:r w:rsidRPr="00F0138C">
        <w:rPr>
          <w:rFonts w:ascii="Times New Roman" w:hAnsi="Times New Roman" w:cs="Times New Roman"/>
          <w:sz w:val="24"/>
          <w:szCs w:val="24"/>
        </w:rPr>
        <w:t xml:space="preserve">    </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NOTA: Serviciile de îngrijire medicală la domiciliu se acordă în condiţiile stabilite prin anexa nr. 31A la prezentul ordin.</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Cs/>
          <w:sz w:val="24"/>
          <w:szCs w:val="24"/>
          <w:lang w:eastAsia="en-US"/>
        </w:rPr>
        <w:t xml:space="preserve">B. PACHETUL DE SERVICII PENTRU PACIENŢII DIN STATELE MEMBRE ALE UNIUNII EUROPENE/SPAŢIULUI ECONOMIC EUROPEAN/CONFEDERAŢIA ELVEŢIANĂ/REGATUL UNIT AL MARII BRITANII ŞI IRLANDEI DE NORD, BENEFICIARI AI FORMULARELOR/DOCUMENTELOR EUROPENE EMISE ÎN BAZA REGULAMENTULUI (CE) NR. 883/2004 AL PARLAMENTULUI EUROPEAN ŞI AL CONSILIULUI DIN 29 APRILIE 2004 PRIVIND COORDONAREA SISTEMELOR DE SECURITATE SOCIALĂ, </w:t>
      </w:r>
      <w:r w:rsidRPr="00F0138C">
        <w:rPr>
          <w:rFonts w:ascii="Times New Roman" w:hAnsi="Times New Roman" w:cs="Times New Roman"/>
          <w:sz w:val="24"/>
          <w:szCs w:val="24"/>
        </w:rPr>
        <w:t xml:space="preserve">CU MODIFICĂRILE ŞI COMPLETĂRILE ULTERIOARE, </w:t>
      </w:r>
      <w:r w:rsidRPr="00F0138C">
        <w:rPr>
          <w:rFonts w:ascii="Times New Roman" w:eastAsia="Calibri" w:hAnsi="Times New Roman" w:cs="Times New Roman"/>
          <w:bCs/>
          <w:sz w:val="24"/>
          <w:szCs w:val="24"/>
          <w:lang w:eastAsia="en-US"/>
        </w:rPr>
        <w:t xml:space="preserve"> ŞI PENTRU PACIENŢII DIN STATELE CU CARE ROMÂNIA A ÎNCHEIAT ACORDURI, ÎNŢELEGERI, CONVENŢII SAU PROTOCOALE INTERNAŢIONALE CU PREVEDERI ÎN DOMENIUL SĂNĂTĂŢII,</w:t>
      </w:r>
      <w:r w:rsidRPr="00F0138C">
        <w:rPr>
          <w:rFonts w:ascii="Times New Roman" w:eastAsia="Calibri" w:hAnsi="Times New Roman" w:cs="Times New Roman"/>
          <w:bCs/>
          <w:iCs/>
          <w:sz w:val="24"/>
          <w:szCs w:val="24"/>
          <w:shd w:val="clear" w:color="auto" w:fill="FFFFFF"/>
          <w:lang w:eastAsia="en-US"/>
        </w:rPr>
        <w:t xml:space="preserve"> CU MODIFICĂRILE ŞI COMPLETĂRILE ULTERIOARE</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 Pacienţii din statele membre ale Uniunii Europene/Spaţiului Economic European/Confederaţia Elveţiană/</w:t>
      </w:r>
      <w:r w:rsidRPr="00F0138C">
        <w:rPr>
          <w:rFonts w:ascii="Times New Roman" w:eastAsia="Calibri" w:hAnsi="Times New Roman" w:cs="Times New Roman"/>
          <w:bCs/>
          <w:sz w:val="24"/>
          <w:szCs w:val="24"/>
          <w:lang w:eastAsia="en-US"/>
        </w:rPr>
        <w:t>Regatul Unit al Marii Britanii şi Irlandei de Nord</w:t>
      </w:r>
      <w:r w:rsidRPr="00F0138C">
        <w:rPr>
          <w:rFonts w:ascii="Times New Roman" w:eastAsia="Calibri" w:hAnsi="Times New Roman" w:cs="Times New Roman"/>
          <w:sz w:val="24"/>
          <w:szCs w:val="24"/>
          <w:lang w:eastAsia="en-US"/>
        </w:rPr>
        <w:t>, beneficiari ai formularelor/documentelor europene emise în baza Regulamentului (CE) nr. 883/2004,</w:t>
      </w:r>
      <w:r w:rsidRPr="00F0138C">
        <w:rPr>
          <w:rFonts w:ascii="Times New Roman" w:eastAsia="Calibri" w:hAnsi="Times New Roman" w:cs="Times New Roman"/>
          <w:b/>
          <w:bCs/>
          <w:i/>
          <w:iCs/>
          <w:sz w:val="24"/>
          <w:szCs w:val="24"/>
          <w:shd w:val="clear" w:color="auto" w:fill="FFFFFF"/>
          <w:lang w:eastAsia="en-US"/>
        </w:rPr>
        <w:t xml:space="preserve"> </w:t>
      </w:r>
      <w:r w:rsidRPr="00F0138C">
        <w:rPr>
          <w:rFonts w:ascii="Times New Roman" w:eastAsia="Calibri" w:hAnsi="Times New Roman" w:cs="Times New Roman"/>
          <w:bCs/>
          <w:iCs/>
          <w:sz w:val="24"/>
          <w:szCs w:val="24"/>
          <w:shd w:val="clear" w:color="auto" w:fill="FFFFFF"/>
          <w:lang w:eastAsia="en-US"/>
        </w:rPr>
        <w:t>cu modificările şi completările ulterioare</w:t>
      </w:r>
      <w:r w:rsidRPr="00F0138C">
        <w:rPr>
          <w:rFonts w:ascii="Times New Roman" w:eastAsia="Calibri" w:hAnsi="Times New Roman" w:cs="Times New Roman"/>
          <w:b/>
          <w:bCs/>
          <w:i/>
          <w:iCs/>
          <w:sz w:val="24"/>
          <w:szCs w:val="24"/>
          <w:shd w:val="clear" w:color="auto" w:fill="FFFFFF"/>
          <w:lang w:eastAsia="en-US"/>
        </w:rPr>
        <w:t>,</w:t>
      </w:r>
      <w:r w:rsidRPr="00F0138C">
        <w:rPr>
          <w:rFonts w:ascii="Times New Roman" w:eastAsia="Calibri" w:hAnsi="Times New Roman" w:cs="Times New Roman"/>
          <w:sz w:val="24"/>
          <w:szCs w:val="24"/>
          <w:lang w:eastAsia="en-US"/>
        </w:rPr>
        <w:t xml:space="preserve"> beneficiază de pachetul de servicii medicale de bază pentru îngrijiri medicale la domiciliu prevăzut la lit. A din prezenta anexă.</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Pacienţii din statele cu care România a încheiat acorduri, înţelegeri, convenţii sau protocoale internaţionale cu prevederi în domeniul sănătăţii, beneficiază de pachetul de servicii medicale de bază pentru îngrijiri medicale la domiciliu, prevăzut la lit. A din prezenta anexă, în condiţiile stabilite de respectivele documente internaţionale.</w:t>
      </w:r>
    </w:p>
    <w:p w:rsidR="008D3D11" w:rsidRPr="00F0138C" w:rsidRDefault="008D3D11" w:rsidP="008D3D11">
      <w:pPr>
        <w:spacing w:after="0" w:line="240" w:lineRule="auto"/>
        <w:jc w:val="both"/>
        <w:rPr>
          <w:rFonts w:ascii="Times New Roman" w:eastAsia="Calibri" w:hAnsi="Times New Roman" w:cs="Times New Roman"/>
          <w:sz w:val="24"/>
          <w:szCs w:val="24"/>
          <w:lang w:eastAsia="en-US"/>
        </w:rPr>
      </w:pPr>
    </w:p>
    <w:p w:rsidR="008D3D11" w:rsidRPr="00F0138C" w:rsidRDefault="008D3D11" w:rsidP="008D3D11">
      <w:pPr>
        <w:spacing w:after="0" w:line="240" w:lineRule="auto"/>
        <w:jc w:val="both"/>
        <w:rPr>
          <w:rFonts w:ascii="Times New Roman" w:hAnsi="Times New Roman" w:cs="Times New Roman"/>
          <w:sz w:val="24"/>
          <w:szCs w:val="24"/>
        </w:rPr>
      </w:pPr>
    </w:p>
    <w:p w:rsidR="008D3D11" w:rsidRPr="00F0138C" w:rsidRDefault="008D3D11" w:rsidP="008D3D11">
      <w:pPr>
        <w:spacing w:after="0" w:line="240" w:lineRule="auto"/>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ANEXA 30 B</w:t>
      </w:r>
    </w:p>
    <w:p w:rsidR="008D3D11" w:rsidRPr="00F0138C" w:rsidRDefault="008D3D11" w:rsidP="008D3D11">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lastRenderedPageBreak/>
        <w:t>A. PACHET DE SERVICII DE BAZĂ PENTRU ÎNGRIJIRI PALIATIVE LA DOMICILIU</w:t>
      </w:r>
    </w:p>
    <w:p w:rsidR="008D3D11" w:rsidRPr="00F0138C" w:rsidRDefault="008D3D11" w:rsidP="008D3D11">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8D3D11" w:rsidRPr="00F0138C" w:rsidRDefault="008D3D11" w:rsidP="008D3D11">
      <w:pPr>
        <w:spacing w:after="0" w:line="240" w:lineRule="auto"/>
        <w:rPr>
          <w:rFonts w:ascii="Courier New" w:hAnsi="Courier New" w:cs="Courier New"/>
          <w:sz w:val="18"/>
          <w:szCs w:val="18"/>
        </w:rPr>
      </w:pPr>
    </w:p>
    <w:tbl>
      <w:tblPr>
        <w:tblStyle w:val="TableGrid"/>
        <w:tblW w:w="9918" w:type="dxa"/>
        <w:tblLayout w:type="fixed"/>
        <w:tblLook w:val="04A0"/>
      </w:tblPr>
      <w:tblGrid>
        <w:gridCol w:w="562"/>
        <w:gridCol w:w="9356"/>
      </w:tblGrid>
      <w:tr w:rsidR="008D3D11" w:rsidRPr="00F0138C" w:rsidTr="00194786">
        <w:trPr>
          <w:trHeight w:val="562"/>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Nr.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crt</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b/>
                <w:bCs/>
                <w:sz w:val="24"/>
                <w:szCs w:val="24"/>
              </w:rPr>
              <w:t>Serviciul de îngrijire paliativă la domiciliu</w:t>
            </w:r>
            <w:r w:rsidRPr="00F0138C">
              <w:rPr>
                <w:rFonts w:ascii="Times New Roman" w:hAnsi="Times New Roman" w:cs="Times New Roman"/>
                <w:sz w:val="24"/>
                <w:szCs w:val="24"/>
              </w:rPr>
              <w:t xml:space="preserve">         </w:t>
            </w:r>
          </w:p>
          <w:p w:rsidR="008D3D11" w:rsidRPr="00F0138C" w:rsidRDefault="008D3D11" w:rsidP="00194786">
            <w:pPr>
              <w:rPr>
                <w:rFonts w:ascii="Times New Roman" w:hAnsi="Times New Roman" w:cs="Times New Roman"/>
                <w:b/>
                <w:bCs/>
                <w:sz w:val="24"/>
                <w:szCs w:val="24"/>
              </w:rPr>
            </w:pPr>
          </w:p>
        </w:tc>
      </w:tr>
      <w:tr w:rsidR="008D3D11" w:rsidRPr="00F0138C" w:rsidTr="00194786">
        <w:trPr>
          <w:trHeight w:val="1074"/>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1</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Consultaţie, care poate cuprinde: Evaluare holistică şi examen clinic pe aparate, Stabilirea diagnosticului paliativ de etapă, Susţinerea pacientului şi familiei pentru luarea deciziilor terapeutice şi de îngrijire, Prescrierea medicaţiei, Consilierea psiho - emoţională de bază a pacientului şi familiei,</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numai de către medic                          </w:t>
            </w:r>
          </w:p>
        </w:tc>
      </w:tr>
      <w:tr w:rsidR="008D3D11" w:rsidRPr="00F0138C" w:rsidTr="00194786">
        <w:trPr>
          <w:trHeight w:val="846"/>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2.</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Aplicarea de algoritmi/protocoale specifice de comunicare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oricare  membru al echipei interdisciplinare                      </w:t>
            </w:r>
          </w:p>
        </w:tc>
      </w:tr>
      <w:tr w:rsidR="008D3D11" w:rsidRPr="00F0138C" w:rsidTr="00194786">
        <w:trPr>
          <w:trHeight w:val="632"/>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3.</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Elaborarea planului interdisciplinar de tratament şi îngrijire - se efectuează de oricare membru al echipei interdisciplinare</w:t>
            </w:r>
          </w:p>
        </w:tc>
      </w:tr>
      <w:tr w:rsidR="008D3D11" w:rsidRPr="00F0138C" w:rsidTr="00194786">
        <w:trPr>
          <w:trHeight w:val="1060"/>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4.</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Aplicarea scalelor specifice (ex: SAV, BPI modificat, ESAS modificat, MMSE, instrumente standardizate de evaluare a anxietăţii, depresiei, delirului etc.)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oricare membru al echipei interdisciplinare                                          </w:t>
            </w:r>
          </w:p>
        </w:tc>
      </w:tr>
      <w:tr w:rsidR="008D3D11" w:rsidRPr="00F0138C" w:rsidTr="00194786">
        <w:trPr>
          <w:trHeight w:val="801"/>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5.</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Evaluarea statusului funcţional şi a capacităţii de autoîngrijire pe baza scalelor specifice (ex: PPS, KARNOFSKY, ECOG, Barthel)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oricare membru al echipei interdisciplinare                                          </w:t>
            </w:r>
          </w:p>
        </w:tc>
      </w:tr>
      <w:tr w:rsidR="008D3D11" w:rsidRPr="00F0138C" w:rsidTr="00194786">
        <w:trPr>
          <w:trHeight w:val="817"/>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6.</w:t>
            </w:r>
          </w:p>
        </w:tc>
        <w:tc>
          <w:tcPr>
            <w:tcW w:w="9356"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Activităţi de suport: Recomandarea de investigaţii clinice si paraclinice sau pentru internare, concediu medical, certificat medical constatator al decesului, eliberarea de prescripții pentru medicamente cu şi fără contribuţie personală utilizate pentru controlul simptomelor si de prescripții pentru substanţe şi preparate stupefiante şi psihotrope utilizate în terapia durerii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numai de către medic        </w:t>
            </w:r>
          </w:p>
        </w:tc>
      </w:tr>
      <w:tr w:rsidR="008D3D11" w:rsidRPr="00F0138C" w:rsidTr="00194786">
        <w:trPr>
          <w:trHeight w:val="1112"/>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7.</w:t>
            </w:r>
          </w:p>
        </w:tc>
        <w:tc>
          <w:tcPr>
            <w:tcW w:w="9356"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Aplicarea şi monitorizarea tratamentului farmacologic pentru  managementul simptomelor (fatigabilitate, dispnee, anorexie, greaţă, vărsături, constipaţie, insomnie, delir, anxietate</w:t>
            </w:r>
            <w:r w:rsidRPr="00F0138C">
              <w:rPr>
                <w:rFonts w:ascii="Times New Roman" w:eastAsia="Calibri" w:hAnsi="Times New Roman" w:cs="Times New Roman"/>
                <w:sz w:val="24"/>
                <w:szCs w:val="24"/>
                <w:lang w:eastAsia="en-US"/>
              </w:rPr>
              <w:t>.</w:t>
            </w:r>
            <w:r w:rsidRPr="00F0138C">
              <w:rPr>
                <w:rFonts w:ascii="Times New Roman" w:hAnsi="Times New Roman" w:cs="Times New Roman"/>
                <w:sz w:val="24"/>
                <w:szCs w:val="24"/>
              </w:rPr>
              <w:t xml:space="preserve">, depresie etc.) şi/sau a durerii somatice/viscerale/ neuropatice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medic sau  asistentul medical               </w:t>
            </w:r>
          </w:p>
        </w:tc>
      </w:tr>
      <w:tr w:rsidR="008D3D11" w:rsidRPr="00F0138C" w:rsidTr="00194786">
        <w:trPr>
          <w:trHeight w:val="632"/>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8.</w:t>
            </w:r>
          </w:p>
        </w:tc>
        <w:tc>
          <w:tcPr>
            <w:tcW w:w="9356"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Efectuarea de manevre diagnostice şi terapeutice (montare sondă urinară, paracenteză evacuatorie, debridarea escarelor, limfedem)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medic  sau asistent medical, cu excepţia serviciului de paracenteză şi  debridarea escarelor care se efectuează numai de către medic                     </w:t>
            </w:r>
          </w:p>
        </w:tc>
      </w:tr>
      <w:tr w:rsidR="008D3D11" w:rsidRPr="00F0138C" w:rsidTr="00194786">
        <w:trPr>
          <w:trHeight w:val="418"/>
        </w:trPr>
        <w:tc>
          <w:tcPr>
            <w:tcW w:w="562"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9.</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Recoltarea de produse biologice şi patologice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medic sau  asistentul medical</w:t>
            </w:r>
            <w:r w:rsidRPr="00F0138C">
              <w:rPr>
                <w:rFonts w:ascii="Times New Roman" w:hAnsi="Times New Roman" w:cs="Times New Roman"/>
                <w:strike/>
                <w:sz w:val="24"/>
                <w:szCs w:val="24"/>
              </w:rPr>
              <w:t xml:space="preserve"> </w:t>
            </w:r>
            <w:r w:rsidRPr="00F0138C">
              <w:rPr>
                <w:rFonts w:ascii="Times New Roman" w:hAnsi="Times New Roman" w:cs="Times New Roman"/>
                <w:sz w:val="24"/>
                <w:szCs w:val="24"/>
              </w:rPr>
              <w:t xml:space="preserve">        </w:t>
            </w:r>
          </w:p>
        </w:tc>
      </w:tr>
      <w:tr w:rsidR="008D3D11" w:rsidRPr="00F0138C" w:rsidTr="00194786">
        <w:trPr>
          <w:trHeight w:val="756"/>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10.</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Monitorizarea pacientului pentru eficienţa intervenţiilor, Educarea pacientului şi familiei pentru aplicarea planului de  îngrijire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toţi membrii echipei interdisciplinare</w:t>
            </w:r>
          </w:p>
        </w:tc>
      </w:tr>
      <w:tr w:rsidR="008D3D11" w:rsidRPr="00F0138C" w:rsidTr="00194786">
        <w:trPr>
          <w:trHeight w:val="485"/>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11.</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Educarea şi informarea pacientului pentru auto-îngrijire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toţi membrii echipei interdisciplinare</w:t>
            </w:r>
          </w:p>
        </w:tc>
      </w:tr>
      <w:tr w:rsidR="008D3D11" w:rsidRPr="00F0138C" w:rsidTr="00194786">
        <w:trPr>
          <w:trHeight w:val="418"/>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12.</w:t>
            </w:r>
          </w:p>
        </w:tc>
        <w:tc>
          <w:tcPr>
            <w:tcW w:w="9356"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Îngrijire terminală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medic, asistentul medical sau  psiholog</w:t>
            </w:r>
          </w:p>
        </w:tc>
      </w:tr>
      <w:tr w:rsidR="008D3D11" w:rsidRPr="00F0138C" w:rsidTr="00194786">
        <w:trPr>
          <w:trHeight w:val="838"/>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13.</w:t>
            </w:r>
          </w:p>
        </w:tc>
        <w:tc>
          <w:tcPr>
            <w:tcW w:w="9356" w:type="dxa"/>
          </w:tcPr>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Monitorizarea pacientului (funcţii vitale, vegetative), Îngrijirea escarelor/stomelor/tumorilor exulcerate/pansamente </w:t>
            </w:r>
          </w:p>
          <w:p w:rsidR="008D3D11" w:rsidRPr="00F0138C" w:rsidRDefault="008D3D11" w:rsidP="00194786">
            <w:pPr>
              <w:jc w:val="both"/>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medic sau  asistentul medical          </w:t>
            </w:r>
          </w:p>
        </w:tc>
      </w:tr>
      <w:tr w:rsidR="008D3D11" w:rsidRPr="00F0138C" w:rsidTr="00194786">
        <w:trPr>
          <w:trHeight w:val="418"/>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14.</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Montare dispozitiv subcutanat de administrare a medicaţiei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lastRenderedPageBreak/>
              <w:t xml:space="preserve">     - se efectuează de către medic sau  asistentul medical          </w:t>
            </w:r>
          </w:p>
        </w:tc>
      </w:tr>
      <w:tr w:rsidR="008D3D11" w:rsidRPr="00F0138C" w:rsidTr="00194786">
        <w:trPr>
          <w:trHeight w:val="273"/>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lastRenderedPageBreak/>
              <w:t>15.</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Mobilizarea pacientului pentru profilaxia escarelor şi menţinerea autonomiei funcţionale pacientului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medic</w:t>
            </w:r>
            <w:r w:rsidRPr="00F0138C">
              <w:rPr>
                <w:rFonts w:ascii="TimesNewRomanPSMT" w:hAnsi="TimesNewRomanPSMT" w:cs="TimesNewRomanPSMT"/>
                <w:sz w:val="24"/>
                <w:szCs w:val="24"/>
              </w:rPr>
              <w:t>,</w:t>
            </w:r>
            <w:r w:rsidRPr="00F0138C">
              <w:rPr>
                <w:rFonts w:ascii="Times New Roman" w:hAnsi="Times New Roman" w:cs="Times New Roman"/>
                <w:sz w:val="24"/>
                <w:szCs w:val="24"/>
              </w:rPr>
              <w:t xml:space="preserve"> asistentul medical sau  fizioterapeut  </w:t>
            </w:r>
          </w:p>
        </w:tc>
      </w:tr>
      <w:tr w:rsidR="008D3D11" w:rsidRPr="00F0138C" w:rsidTr="00194786">
        <w:trPr>
          <w:trHeight w:val="582"/>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16.</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Aplicarea de metode nefarmacologice de tratament al simptomelor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oricare membru al echipei interdisciplinare               </w:t>
            </w:r>
          </w:p>
        </w:tc>
      </w:tr>
      <w:tr w:rsidR="008D3D11" w:rsidRPr="00F0138C" w:rsidTr="00194786">
        <w:trPr>
          <w:trHeight w:val="418"/>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17.</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Evaluare psihologică specializată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psiholog                             </w:t>
            </w:r>
          </w:p>
        </w:tc>
      </w:tr>
      <w:tr w:rsidR="008D3D11" w:rsidRPr="00F0138C" w:rsidTr="00194786">
        <w:trPr>
          <w:trHeight w:val="633"/>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18.</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Consiliere psihologică specializată a pacientului şi familiei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psiholog                             </w:t>
            </w:r>
          </w:p>
        </w:tc>
      </w:tr>
      <w:tr w:rsidR="008D3D11" w:rsidRPr="00F0138C" w:rsidTr="00194786">
        <w:trPr>
          <w:trHeight w:val="418"/>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19.</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Psihoterapie individuală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psiholog                             </w:t>
            </w:r>
          </w:p>
        </w:tc>
      </w:tr>
      <w:tr w:rsidR="008D3D11" w:rsidRPr="00F0138C" w:rsidTr="00194786">
        <w:trPr>
          <w:trHeight w:val="571"/>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20.</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Elaborarea planului de kinetoterapie cu reevaluare funcţională periodică a pacientului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                        </w:t>
            </w:r>
          </w:p>
        </w:tc>
      </w:tr>
      <w:tr w:rsidR="008D3D11" w:rsidRPr="00F0138C" w:rsidTr="00194786">
        <w:trPr>
          <w:trHeight w:val="632"/>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21.</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Kinetoterapie pediatrică (metoda Bobath, metoda Kabath, ADL)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                          </w:t>
            </w:r>
          </w:p>
        </w:tc>
      </w:tr>
      <w:tr w:rsidR="008D3D11" w:rsidRPr="00F0138C" w:rsidTr="00194786">
        <w:trPr>
          <w:trHeight w:val="846"/>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22.</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Kinetoterapie respiratorie (managementul secreţiilor: tapotaj, gimnastică respiratorie, posturare)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                              </w:t>
            </w:r>
          </w:p>
        </w:tc>
      </w:tr>
      <w:tr w:rsidR="008D3D11" w:rsidRPr="00F0138C" w:rsidTr="00194786">
        <w:trPr>
          <w:trHeight w:val="451"/>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23.</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Kinetoterapie profilactică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                              </w:t>
            </w:r>
          </w:p>
        </w:tc>
      </w:tr>
      <w:tr w:rsidR="008D3D11" w:rsidRPr="00F0138C" w:rsidTr="00194786">
        <w:trPr>
          <w:trHeight w:val="601"/>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24.</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Aplicare benzi kinesiologice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w:t>
            </w:r>
          </w:p>
        </w:tc>
      </w:tr>
      <w:tr w:rsidR="008D3D11" w:rsidRPr="00F0138C" w:rsidTr="00194786">
        <w:trPr>
          <w:trHeight w:val="846"/>
        </w:trPr>
        <w:tc>
          <w:tcPr>
            <w:tcW w:w="562" w:type="dxa"/>
          </w:tcPr>
          <w:p w:rsidR="008D3D11" w:rsidRPr="00F0138C" w:rsidRDefault="008D3D11" w:rsidP="00194786">
            <w:pPr>
              <w:jc w:val="center"/>
              <w:rPr>
                <w:rFonts w:ascii="Times New Roman" w:hAnsi="Times New Roman" w:cs="Times New Roman"/>
                <w:sz w:val="24"/>
                <w:szCs w:val="24"/>
              </w:rPr>
            </w:pPr>
            <w:r w:rsidRPr="00F0138C">
              <w:rPr>
                <w:rFonts w:ascii="Times New Roman" w:hAnsi="Times New Roman" w:cs="Times New Roman"/>
                <w:sz w:val="24"/>
                <w:szCs w:val="24"/>
              </w:rPr>
              <w:t>25.</w:t>
            </w:r>
          </w:p>
        </w:tc>
        <w:tc>
          <w:tcPr>
            <w:tcW w:w="9356" w:type="dxa"/>
          </w:tcPr>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Kinetoterapie în boli oncologice şi boli asociate (exerciţii, tehnici, manevre specifice, posturări)                        </w:t>
            </w:r>
          </w:p>
          <w:p w:rsidR="008D3D11" w:rsidRPr="00F0138C" w:rsidRDefault="008D3D11" w:rsidP="00194786">
            <w:pPr>
              <w:rPr>
                <w:rFonts w:ascii="Times New Roman" w:hAnsi="Times New Roman" w:cs="Times New Roman"/>
                <w:sz w:val="24"/>
                <w:szCs w:val="24"/>
              </w:rPr>
            </w:pPr>
            <w:r w:rsidRPr="00F0138C">
              <w:rPr>
                <w:rFonts w:ascii="Times New Roman" w:hAnsi="Times New Roman" w:cs="Times New Roman"/>
                <w:sz w:val="24"/>
                <w:szCs w:val="24"/>
              </w:rPr>
              <w:t xml:space="preserve">     - se efectuează de către fizioterapeut   </w:t>
            </w:r>
          </w:p>
        </w:tc>
      </w:tr>
    </w:tbl>
    <w:p w:rsidR="008D3D11" w:rsidRPr="00F0138C" w:rsidRDefault="008D3D11" w:rsidP="008D3D1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NOTA: Serviciile de îngrijire paliativă la domiciliu se acordă în condiţiile stabilite prin anexa nr. 31B la prezentul ordin</w:t>
      </w:r>
    </w:p>
    <w:p w:rsidR="007E0386" w:rsidRDefault="007E0386"/>
    <w:sectPr w:rsidR="007E0386" w:rsidSect="007E0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64F"/>
    <w:multiLevelType w:val="multilevel"/>
    <w:tmpl w:val="55E6DE66"/>
    <w:lvl w:ilvl="0">
      <w:numFmt w:val="bullet"/>
      <w:lvlText w:val="-"/>
      <w:lvlJc w:val="left"/>
      <w:pPr>
        <w:tabs>
          <w:tab w:val="num" w:pos="0"/>
        </w:tabs>
        <w:ind w:left="660" w:hanging="360"/>
      </w:pPr>
      <w:rPr>
        <w:rFonts w:ascii="Times New Roman" w:hAnsi="Times New Roman" w:cs="Times New Roman" w:hint="default"/>
      </w:rPr>
    </w:lvl>
    <w:lvl w:ilvl="1">
      <w:start w:val="1"/>
      <w:numFmt w:val="bullet"/>
      <w:lvlText w:val="o"/>
      <w:lvlJc w:val="left"/>
      <w:pPr>
        <w:tabs>
          <w:tab w:val="num" w:pos="0"/>
        </w:tabs>
        <w:ind w:left="1380" w:hanging="360"/>
      </w:pPr>
      <w:rPr>
        <w:rFonts w:ascii="Courier New" w:hAnsi="Courier New" w:cs="Courier New" w:hint="default"/>
      </w:rPr>
    </w:lvl>
    <w:lvl w:ilvl="2">
      <w:start w:val="1"/>
      <w:numFmt w:val="bullet"/>
      <w:lvlText w:val=""/>
      <w:lvlJc w:val="left"/>
      <w:pPr>
        <w:tabs>
          <w:tab w:val="num" w:pos="0"/>
        </w:tabs>
        <w:ind w:left="2100" w:hanging="360"/>
      </w:pPr>
      <w:rPr>
        <w:rFonts w:ascii="Wingdings" w:hAnsi="Wingdings" w:cs="Wingdings" w:hint="default"/>
      </w:rPr>
    </w:lvl>
    <w:lvl w:ilvl="3">
      <w:start w:val="1"/>
      <w:numFmt w:val="bullet"/>
      <w:lvlText w:val=""/>
      <w:lvlJc w:val="left"/>
      <w:pPr>
        <w:tabs>
          <w:tab w:val="num" w:pos="0"/>
        </w:tabs>
        <w:ind w:left="2820" w:hanging="360"/>
      </w:pPr>
      <w:rPr>
        <w:rFonts w:ascii="Symbol" w:hAnsi="Symbol" w:cs="Symbol" w:hint="default"/>
      </w:rPr>
    </w:lvl>
    <w:lvl w:ilvl="4">
      <w:start w:val="1"/>
      <w:numFmt w:val="bullet"/>
      <w:lvlText w:val="o"/>
      <w:lvlJc w:val="left"/>
      <w:pPr>
        <w:tabs>
          <w:tab w:val="num" w:pos="0"/>
        </w:tabs>
        <w:ind w:left="3540" w:hanging="360"/>
      </w:pPr>
      <w:rPr>
        <w:rFonts w:ascii="Courier New" w:hAnsi="Courier New" w:cs="Courier New" w:hint="default"/>
      </w:rPr>
    </w:lvl>
    <w:lvl w:ilvl="5">
      <w:start w:val="1"/>
      <w:numFmt w:val="bullet"/>
      <w:lvlText w:val=""/>
      <w:lvlJc w:val="left"/>
      <w:pPr>
        <w:tabs>
          <w:tab w:val="num" w:pos="0"/>
        </w:tabs>
        <w:ind w:left="4260" w:hanging="360"/>
      </w:pPr>
      <w:rPr>
        <w:rFonts w:ascii="Wingdings" w:hAnsi="Wingdings" w:cs="Wingdings" w:hint="default"/>
      </w:rPr>
    </w:lvl>
    <w:lvl w:ilvl="6">
      <w:start w:val="1"/>
      <w:numFmt w:val="bullet"/>
      <w:lvlText w:val=""/>
      <w:lvlJc w:val="left"/>
      <w:pPr>
        <w:tabs>
          <w:tab w:val="num" w:pos="0"/>
        </w:tabs>
        <w:ind w:left="4980" w:hanging="360"/>
      </w:pPr>
      <w:rPr>
        <w:rFonts w:ascii="Symbol" w:hAnsi="Symbol" w:cs="Symbol" w:hint="default"/>
      </w:rPr>
    </w:lvl>
    <w:lvl w:ilvl="7">
      <w:start w:val="1"/>
      <w:numFmt w:val="bullet"/>
      <w:lvlText w:val="o"/>
      <w:lvlJc w:val="left"/>
      <w:pPr>
        <w:tabs>
          <w:tab w:val="num" w:pos="0"/>
        </w:tabs>
        <w:ind w:left="5700" w:hanging="360"/>
      </w:pPr>
      <w:rPr>
        <w:rFonts w:ascii="Courier New" w:hAnsi="Courier New" w:cs="Courier New" w:hint="default"/>
      </w:rPr>
    </w:lvl>
    <w:lvl w:ilvl="8">
      <w:start w:val="1"/>
      <w:numFmt w:val="bullet"/>
      <w:lvlText w:val=""/>
      <w:lvlJc w:val="left"/>
      <w:pPr>
        <w:tabs>
          <w:tab w:val="num" w:pos="0"/>
        </w:tabs>
        <w:ind w:left="64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D11"/>
    <w:rsid w:val="007E0386"/>
    <w:rsid w:val="008D3D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11"/>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11"/>
    <w:pPr>
      <w:ind w:left="720"/>
      <w:contextualSpacing/>
    </w:pPr>
  </w:style>
  <w:style w:type="table" w:styleId="TableGrid">
    <w:name w:val="Table Grid"/>
    <w:basedOn w:val="TableNormal"/>
    <w:uiPriority w:val="59"/>
    <w:rsid w:val="008D3D11"/>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2</cp:revision>
  <dcterms:created xsi:type="dcterms:W3CDTF">2023-06-29T06:03:00Z</dcterms:created>
  <dcterms:modified xsi:type="dcterms:W3CDTF">2023-06-29T06:04:00Z</dcterms:modified>
</cp:coreProperties>
</file>